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AF7C3" w14:textId="59F812BB" w:rsidR="00236E24" w:rsidRDefault="00E50E69">
      <w:pPr>
        <w:pStyle w:val="EncabezadoConsulta"/>
        <w:tabs>
          <w:tab w:val="right" w:pos="8161"/>
          <w:tab w:val="left" w:pos="8222"/>
        </w:tabs>
        <w:spacing w:line="240" w:lineRule="exact"/>
        <w:ind w:left="0" w:right="55"/>
        <w:rPr>
          <w:rFonts w:ascii="Interstate-Light" w:hAnsi="Interstate-Light"/>
          <w:b w:val="0"/>
          <w:bCs/>
        </w:rPr>
      </w:pPr>
      <w:r>
        <w:rPr>
          <w:rFonts w:ascii="Interstate-Light" w:hAnsi="Interstate-Light"/>
          <w:b w:val="0"/>
          <w:bCs/>
        </w:rPr>
        <w:tab/>
      </w:r>
      <w:bookmarkStart w:id="0" w:name="ID_CONSULTA"/>
      <w:bookmarkEnd w:id="0"/>
      <w:r w:rsidR="00341B63">
        <w:rPr>
          <w:rFonts w:ascii="Interstate-Light" w:hAnsi="Interstate-Light"/>
          <w:b w:val="0"/>
          <w:bCs/>
        </w:rPr>
        <w:t>93439</w:t>
      </w:r>
      <w:r>
        <w:rPr>
          <w:rFonts w:ascii="Interstate-Light" w:hAnsi="Interstate-Light"/>
          <w:b w:val="0"/>
          <w:bCs/>
        </w:rPr>
        <w:tab/>
        <w:t xml:space="preserve">: </w:t>
      </w:r>
      <w:r>
        <w:rPr>
          <w:rFonts w:ascii="Interstate-Bold" w:hAnsi="Interstate-Bold"/>
          <w:b w:val="0"/>
          <w:bCs/>
          <w:color w:val="003300"/>
        </w:rPr>
        <w:t>Consulta N.º</w:t>
      </w:r>
    </w:p>
    <w:p w14:paraId="3A1FB7CD" w14:textId="3277D671" w:rsidR="00236E24" w:rsidRDefault="00E50E69">
      <w:pPr>
        <w:pStyle w:val="EncabezadoConsulta"/>
        <w:tabs>
          <w:tab w:val="right" w:pos="8161"/>
          <w:tab w:val="left" w:pos="8222"/>
        </w:tabs>
        <w:spacing w:line="240" w:lineRule="exact"/>
        <w:ind w:left="0" w:right="55"/>
        <w:rPr>
          <w:rFonts w:ascii="Interstate-Light" w:hAnsi="Interstate-Light"/>
          <w:b w:val="0"/>
          <w:bCs/>
        </w:rPr>
      </w:pPr>
      <w:r>
        <w:rPr>
          <w:rFonts w:ascii="Interstate-Light" w:hAnsi="Interstate-Light"/>
          <w:b w:val="0"/>
          <w:bCs/>
        </w:rPr>
        <w:tab/>
      </w:r>
      <w:bookmarkStart w:id="1" w:name="Contrato_tipo"/>
      <w:bookmarkEnd w:id="1"/>
      <w:r w:rsidR="00341B63">
        <w:rPr>
          <w:rFonts w:ascii="Interstate-Light" w:hAnsi="Interstate-Light"/>
          <w:b w:val="0"/>
          <w:bCs/>
        </w:rPr>
        <w:t>*</w:t>
      </w:r>
      <w:r>
        <w:rPr>
          <w:rFonts w:ascii="Interstate-Light" w:hAnsi="Interstate-Light"/>
          <w:b w:val="0"/>
          <w:bCs/>
        </w:rPr>
        <w:tab/>
        <w:t>: Suscripción</w:t>
      </w:r>
    </w:p>
    <w:p w14:paraId="6DDB03A5" w14:textId="1CF37949" w:rsidR="00236E24" w:rsidRDefault="00E50E69">
      <w:pPr>
        <w:pStyle w:val="EncabezadoConsulta"/>
        <w:tabs>
          <w:tab w:val="right" w:pos="8161"/>
          <w:tab w:val="left" w:pos="8222"/>
        </w:tabs>
        <w:spacing w:line="240" w:lineRule="exact"/>
        <w:ind w:left="0"/>
        <w:rPr>
          <w:rFonts w:ascii="Interstate-Light" w:hAnsi="Interstate-Light"/>
          <w:b w:val="0"/>
          <w:bCs/>
        </w:rPr>
      </w:pPr>
      <w:r>
        <w:rPr>
          <w:rFonts w:ascii="Interstate-Light" w:hAnsi="Interstate-Light"/>
          <w:b w:val="0"/>
          <w:bCs/>
        </w:rPr>
        <w:tab/>
      </w:r>
      <w:bookmarkStart w:id="2" w:name="Codigo_cliente"/>
      <w:bookmarkEnd w:id="2"/>
      <w:r w:rsidR="00341B63">
        <w:rPr>
          <w:rFonts w:ascii="Interstate-Light" w:hAnsi="Interstate-Light"/>
          <w:b w:val="0"/>
          <w:bCs/>
        </w:rPr>
        <w:t>336</w:t>
      </w:r>
      <w:r>
        <w:rPr>
          <w:rFonts w:ascii="Interstate-Light" w:hAnsi="Interstate-Light"/>
          <w:b w:val="0"/>
          <w:bCs/>
        </w:rPr>
        <w:tab/>
        <w:t>: Código cliente</w:t>
      </w:r>
    </w:p>
    <w:p w14:paraId="0627B86C" w14:textId="4380A7D5" w:rsidR="00236E24" w:rsidRDefault="00E50E69">
      <w:pPr>
        <w:pStyle w:val="EncabezadoConsulta"/>
        <w:tabs>
          <w:tab w:val="right" w:pos="8161"/>
          <w:tab w:val="left" w:pos="8222"/>
        </w:tabs>
        <w:spacing w:line="240" w:lineRule="exact"/>
        <w:ind w:left="0"/>
        <w:rPr>
          <w:rFonts w:ascii="Interstate-Light" w:hAnsi="Interstate-Light"/>
          <w:b w:val="0"/>
          <w:bCs/>
          <w:sz w:val="16"/>
        </w:rPr>
      </w:pPr>
      <w:r>
        <w:rPr>
          <w:rFonts w:ascii="Interstate-Light" w:hAnsi="Interstate-Light"/>
          <w:b w:val="0"/>
          <w:bCs/>
        </w:rPr>
        <w:tab/>
      </w:r>
      <w:bookmarkStart w:id="3" w:name="Nombre"/>
      <w:bookmarkEnd w:id="3"/>
      <w:r w:rsidR="00341B63">
        <w:rPr>
          <w:rFonts w:ascii="Interstate-Light" w:hAnsi="Interstate-Light"/>
          <w:b w:val="0"/>
          <w:bCs/>
        </w:rPr>
        <w:t>ROMERO BALSERA, MERCEDES</w:t>
      </w:r>
      <w:r>
        <w:rPr>
          <w:rFonts w:ascii="Interstate-Light" w:hAnsi="Interstate-Light"/>
          <w:b w:val="0"/>
          <w:bCs/>
        </w:rPr>
        <w:tab/>
        <w:t>: Nombre</w:t>
      </w:r>
    </w:p>
    <w:p w14:paraId="3CDAB4DE" w14:textId="39B366B4" w:rsidR="00236E24" w:rsidRDefault="00E50E69">
      <w:pPr>
        <w:pStyle w:val="EncabezadoConsulta"/>
        <w:tabs>
          <w:tab w:val="right" w:pos="8161"/>
          <w:tab w:val="left" w:pos="8222"/>
        </w:tabs>
        <w:spacing w:before="120"/>
        <w:ind w:left="0"/>
        <w:rPr>
          <w:rFonts w:ascii="Interstate-Bold" w:hAnsi="Interstate-Bold"/>
          <w:b w:val="0"/>
          <w:bCs/>
          <w:color w:val="003300"/>
          <w:sz w:val="24"/>
        </w:rPr>
      </w:pPr>
      <w:r>
        <w:rPr>
          <w:rFonts w:ascii="Interstate-Bold" w:hAnsi="Interstate-Bold"/>
          <w:b w:val="0"/>
          <w:bCs/>
          <w:color w:val="003300"/>
          <w:sz w:val="24"/>
        </w:rPr>
        <w:tab/>
      </w:r>
      <w:bookmarkStart w:id="4" w:name="ATENCION"/>
      <w:bookmarkEnd w:id="4"/>
      <w:r w:rsidR="00341B63">
        <w:rPr>
          <w:rFonts w:ascii="Interstate-Bold" w:hAnsi="Interstate-Bold"/>
          <w:b w:val="0"/>
          <w:bCs/>
          <w:color w:val="003300"/>
          <w:sz w:val="24"/>
        </w:rPr>
        <w:t>ROMERO BALSERA, MERCEDES</w:t>
      </w:r>
      <w:r>
        <w:rPr>
          <w:rFonts w:ascii="Interstate-Bold" w:hAnsi="Interstate-Bold"/>
          <w:b w:val="0"/>
          <w:bCs/>
          <w:color w:val="003300"/>
          <w:sz w:val="24"/>
        </w:rPr>
        <w:tab/>
      </w:r>
      <w:r>
        <w:rPr>
          <w:rFonts w:ascii="Interstate-Light" w:hAnsi="Interstate-Light"/>
          <w:b w:val="0"/>
          <w:bCs/>
          <w:sz w:val="24"/>
        </w:rPr>
        <w:t xml:space="preserve">: </w:t>
      </w:r>
      <w:r>
        <w:rPr>
          <w:rFonts w:ascii="Interstate-Bold" w:hAnsi="Interstate-Bold"/>
          <w:b w:val="0"/>
          <w:bCs/>
          <w:color w:val="003300"/>
          <w:sz w:val="24"/>
        </w:rPr>
        <w:t>A/A</w:t>
      </w:r>
    </w:p>
    <w:p w14:paraId="2D5973E1" w14:textId="77777777" w:rsidR="00236E24" w:rsidRDefault="00236E24">
      <w:pPr>
        <w:pStyle w:val="SPCAPARTADO"/>
        <w:rPr>
          <w:rFonts w:ascii="Interstate-Light" w:hAnsi="Interstate-Light"/>
          <w:bCs/>
          <w:color w:val="auto"/>
        </w:rPr>
      </w:pPr>
    </w:p>
    <w:p w14:paraId="5BBF404D" w14:textId="77777777" w:rsidR="00236E24" w:rsidRDefault="00236E24">
      <w:pPr>
        <w:pStyle w:val="SPCAPARTADO"/>
        <w:ind w:right="579"/>
        <w:rPr>
          <w:rFonts w:ascii="Interstate-Light" w:hAnsi="Interstate-Light"/>
          <w:bCs/>
          <w:color w:val="auto"/>
        </w:rPr>
      </w:pPr>
      <w:bookmarkStart w:id="5" w:name="PLANTEAMIENTO"/>
      <w:bookmarkEnd w:id="5"/>
    </w:p>
    <w:p w14:paraId="5312A157" w14:textId="77777777" w:rsidR="00236E24" w:rsidRDefault="00236E24" w:rsidP="00341B63">
      <w:pPr>
        <w:pStyle w:val="SPCAPARTADO"/>
        <w:ind w:right="579"/>
        <w:rPr>
          <w:rFonts w:ascii="Interstate-Light" w:hAnsi="Interstate-Light"/>
          <w:bCs/>
          <w:color w:val="auto"/>
        </w:rPr>
      </w:pPr>
      <w:bookmarkStart w:id="6" w:name="PREGUNTA"/>
      <w:bookmarkEnd w:id="6"/>
    </w:p>
    <w:p w14:paraId="0CC45881" w14:textId="77777777" w:rsidR="00236E24" w:rsidRDefault="00236E24" w:rsidP="00341B63">
      <w:pPr>
        <w:pStyle w:val="SPCAPARTADO"/>
        <w:ind w:right="579"/>
        <w:rPr>
          <w:rFonts w:ascii="Interstate-Light" w:hAnsi="Interstate-Light"/>
          <w:bCs/>
          <w:color w:val="auto"/>
        </w:rPr>
      </w:pPr>
    </w:p>
    <w:p w14:paraId="638414CB" w14:textId="413EE6FF" w:rsidR="00236E24" w:rsidRDefault="00341B63" w:rsidP="00341B63">
      <w:pPr>
        <w:pStyle w:val="SPCTITULO"/>
        <w:jc w:val="both"/>
      </w:pPr>
      <w:bookmarkStart w:id="7" w:name="TITULO"/>
      <w:bookmarkEnd w:id="7"/>
      <w:r>
        <w:t>Instalación fibra óptica por un propietario siendo necesario utilizar elementos comunes</w:t>
      </w:r>
    </w:p>
    <w:p w14:paraId="5D1E97F8" w14:textId="77777777" w:rsidR="00236E24" w:rsidRDefault="00236E24">
      <w:pPr>
        <w:pStyle w:val="SPCAPARTADO"/>
        <w:ind w:right="579"/>
        <w:rPr>
          <w:rFonts w:ascii="Interstate-Light" w:hAnsi="Interstate-Light"/>
          <w:bCs/>
          <w:color w:val="auto"/>
        </w:rPr>
      </w:pPr>
    </w:p>
    <w:p w14:paraId="7AA33AB3" w14:textId="77777777" w:rsidR="00341B63" w:rsidRDefault="00341B63" w:rsidP="00341B63">
      <w:pPr>
        <w:pStyle w:val="SPCRESP"/>
        <w:ind w:firstLine="454"/>
      </w:pPr>
      <w:bookmarkStart w:id="8" w:name="RESPUESTA"/>
      <w:bookmarkEnd w:id="8"/>
      <w:r>
        <w:t>El</w:t>
      </w:r>
      <w:r w:rsidRPr="00341B63">
        <w:rPr>
          <w:b/>
          <w:bCs/>
        </w:rPr>
        <w:t xml:space="preserve"> Real Decreto-Ley 1/1998, de 27 de febrero</w:t>
      </w:r>
      <w:r>
        <w:t xml:space="preserve">, sobre infraestructuras comunes en los edificios para el acceso a los servicios de telecomunicación, que puede encontrar en nuestra base de datos con la referencia SP/LEG/1949, establece en su artículo 9 lo siguiente: </w:t>
      </w:r>
    </w:p>
    <w:p w14:paraId="73BA3B86" w14:textId="77777777" w:rsidR="00341B63" w:rsidRDefault="00341B63" w:rsidP="00341B63">
      <w:pPr>
        <w:pStyle w:val="SPCRESP"/>
      </w:pPr>
    </w:p>
    <w:p w14:paraId="3FEC5BAC" w14:textId="77777777" w:rsidR="00341B63" w:rsidRPr="00341B63" w:rsidRDefault="00341B63" w:rsidP="00341B63">
      <w:pPr>
        <w:pStyle w:val="SPCRESP"/>
        <w:rPr>
          <w:b/>
          <w:bCs/>
        </w:rPr>
      </w:pPr>
      <w:r w:rsidRPr="00341B63">
        <w:rPr>
          <w:b/>
          <w:bCs/>
        </w:rPr>
        <w:t>Artículo 9. Derecho de los copropietarios o arrendatarios al acceso a los servicios y garantía del posible uso compartido de la infraestructura</w:t>
      </w:r>
    </w:p>
    <w:p w14:paraId="48AC7470" w14:textId="77777777" w:rsidR="00341B63" w:rsidRPr="00341B63" w:rsidRDefault="00341B63" w:rsidP="00341B63">
      <w:pPr>
        <w:pStyle w:val="SPCRESP"/>
        <w:rPr>
          <w:i/>
          <w:iCs/>
        </w:rPr>
      </w:pPr>
    </w:p>
    <w:p w14:paraId="517D0190" w14:textId="77777777" w:rsidR="00341B63" w:rsidRPr="00341B63" w:rsidRDefault="00341B63" w:rsidP="00341B63">
      <w:pPr>
        <w:pStyle w:val="SPCRESP"/>
        <w:rPr>
          <w:i/>
          <w:iCs/>
        </w:rPr>
      </w:pPr>
      <w:r w:rsidRPr="00341B63">
        <w:rPr>
          <w:i/>
          <w:iCs/>
        </w:rPr>
        <w:t>1. Los copropietarios de un edificio en régimen de propiedad horizontal o, en su caso, los arrendatarios tendrán derecho a acceder a los servicios de telecomunicaciones distintos de los indicados en el artículo 1.2, a través de la instalación común realizada con arreglo a este Real Decreto-ley, si técnicamente resultase posible su adaptación, o a través de sistemas individuales</w:t>
      </w:r>
    </w:p>
    <w:p w14:paraId="4F442AE8" w14:textId="77777777" w:rsidR="00341B63" w:rsidRPr="00341B63" w:rsidRDefault="00341B63" w:rsidP="00341B63">
      <w:pPr>
        <w:pStyle w:val="SPCRESP"/>
        <w:rPr>
          <w:i/>
          <w:iCs/>
        </w:rPr>
      </w:pPr>
      <w:r w:rsidRPr="00341B63">
        <w:rPr>
          <w:i/>
          <w:iCs/>
        </w:rPr>
        <w:t>Igualmente, cualquier copropietario de un edificio en régimen de propiedad horizontal o, en su caso, cualquier arrendatario de todo o parte de un edificio tendrán derecho, a su costa y en caso de que no exista una infraestructura común en el mismo, a instalar ésta. También podrán realizar la adaptación de la infraestructura ya existente en el edificio a lo establecido en el artículo 1.2 de este Real Decreto-ley.</w:t>
      </w:r>
    </w:p>
    <w:p w14:paraId="184A2951" w14:textId="77777777" w:rsidR="00341B63" w:rsidRPr="00341B63" w:rsidRDefault="00341B63" w:rsidP="00341B63">
      <w:pPr>
        <w:pStyle w:val="SPCRESP"/>
        <w:rPr>
          <w:i/>
          <w:iCs/>
        </w:rPr>
      </w:pPr>
      <w:r w:rsidRPr="00341B63">
        <w:rPr>
          <w:i/>
          <w:iCs/>
        </w:rPr>
        <w:t>Para llevar a cabo lo previsto en este artículo, los copropietarios o los arrendatarios podrán aprovecharse no sólo de los elementos privativos, sino también de los comunes de los inmuebles, siempre que no menoscaben la infraestructura que existiere en los edificios y no interfieran ni modifiquen las señales correspondientes a servicios que previamente hubiesen contratado otros usuarios.</w:t>
      </w:r>
    </w:p>
    <w:p w14:paraId="6CA99DBF" w14:textId="77777777" w:rsidR="00341B63" w:rsidRPr="00341B63" w:rsidRDefault="00341B63" w:rsidP="00341B63">
      <w:pPr>
        <w:pStyle w:val="SPCRESP"/>
        <w:rPr>
          <w:i/>
          <w:iCs/>
        </w:rPr>
      </w:pPr>
      <w:r w:rsidRPr="00341B63">
        <w:rPr>
          <w:i/>
          <w:iCs/>
        </w:rPr>
        <w:t>2. En los supuestos establecidos en el anterior apartado, cuando el propietario de un piso o local, o, en su caso, un arrendatario, desee recibir la prestación de un servicio de telecomunicación al que pudiera accederse a través de una infraestructura determinada, deberá comunicarlo al presidente de la comunidad de propietarios o, en su caso, al propietario del edificio, antes de iniciar cualquier obra con dicha finalidad. El presidente de la comunidad de propietarios o el propietario deberán contestarle antes de quince días desde que la comunicación se produzca, aplicándose, según proceda, las siguientes reglas:</w:t>
      </w:r>
    </w:p>
    <w:p w14:paraId="147F22B1" w14:textId="77777777" w:rsidR="00341B63" w:rsidRPr="00341B63" w:rsidRDefault="00341B63" w:rsidP="00341B63">
      <w:pPr>
        <w:pStyle w:val="SPCRESP"/>
        <w:rPr>
          <w:i/>
          <w:iCs/>
        </w:rPr>
      </w:pPr>
      <w:r w:rsidRPr="00341B63">
        <w:rPr>
          <w:i/>
          <w:iCs/>
        </w:rPr>
        <w:t>a) En caso de que exista ya en el edificio esa infraestructura o, antes de que transcurran tres meses desde que la comunicación se produzca, se fuese a adaptar la existente o a instalar una nueva con la finalidad de permitir el acceso a los servicios en cuestión, no podrá llevarse a acabo obra alguna por el copropietario o por el arrendatario.</w:t>
      </w:r>
    </w:p>
    <w:p w14:paraId="0D44DD46" w14:textId="77777777" w:rsidR="00341B63" w:rsidRPr="00341B63" w:rsidRDefault="00341B63" w:rsidP="00341B63">
      <w:pPr>
        <w:pStyle w:val="SPCRESP"/>
        <w:rPr>
          <w:i/>
          <w:iCs/>
        </w:rPr>
      </w:pPr>
      <w:r w:rsidRPr="00341B63">
        <w:rPr>
          <w:i/>
          <w:iCs/>
        </w:rPr>
        <w:t xml:space="preserve">b) En el supuesto de que no existiese la infraestructura, no fuese hábil para la prestación del servicio al que desean acceder el copropietario o el arrendatario o no se instalase una nueva ni se adaptase la preexistente en el referido plazo de tres meses, el comunicante podrá realizar la obra que le permita </w:t>
      </w:r>
      <w:r w:rsidRPr="00341B63">
        <w:rPr>
          <w:i/>
          <w:iCs/>
        </w:rPr>
        <w:lastRenderedPageBreak/>
        <w:t>la recepción de los servicios de telecomunicaciones correspondientes. Si cualquier otro copropietario o arrendatario solicitase, con posterioridad, beneficiarse de la instalación de las nuevas infraestructuras comunes o de la adaptación de las preexistentes que se llevasen a cabo al amparo de este artículo, se les podrá autorizar, siempre que cumplan lo previsto en el segundo inciso del artículo 4.2.</w:t>
      </w:r>
    </w:p>
    <w:p w14:paraId="09D6C0DF" w14:textId="77777777" w:rsidR="00341B63" w:rsidRPr="00341B63" w:rsidRDefault="00341B63" w:rsidP="00341B63">
      <w:pPr>
        <w:pStyle w:val="SPCRESP"/>
        <w:rPr>
          <w:i/>
          <w:iCs/>
        </w:rPr>
      </w:pPr>
    </w:p>
    <w:p w14:paraId="79FECBE2" w14:textId="77777777" w:rsidR="00341B63" w:rsidRDefault="00341B63" w:rsidP="00341B63">
      <w:pPr>
        <w:pStyle w:val="SPCRESP"/>
      </w:pPr>
      <w:proofErr w:type="gramStart"/>
      <w:r>
        <w:t>Igualmente</w:t>
      </w:r>
      <w:proofErr w:type="gramEnd"/>
      <w:r>
        <w:t xml:space="preserve"> el a</w:t>
      </w:r>
      <w:r w:rsidRPr="00341B63">
        <w:rPr>
          <w:b/>
          <w:bCs/>
        </w:rPr>
        <w:t>rtículo 5.5 del Real Decreto 346/2011,</w:t>
      </w:r>
      <w:r>
        <w:t xml:space="preserve"> de 11 de marzo, por el que se aprueba el Reglamento regulador de las infraestructuras comunes de telecomunicaciones para el acceso a los servicios de telecomunicación en el interior de las edificaciones (SP/LEG/7409) establece: </w:t>
      </w:r>
    </w:p>
    <w:p w14:paraId="4886FBF3" w14:textId="77777777" w:rsidR="00341B63" w:rsidRPr="00341B63" w:rsidRDefault="00341B63" w:rsidP="00341B63">
      <w:pPr>
        <w:pStyle w:val="SPCRESP"/>
        <w:rPr>
          <w:b/>
          <w:bCs/>
        </w:rPr>
      </w:pPr>
    </w:p>
    <w:p w14:paraId="1170E81E" w14:textId="77777777" w:rsidR="00341B63" w:rsidRPr="00341B63" w:rsidRDefault="00341B63" w:rsidP="00341B63">
      <w:pPr>
        <w:pStyle w:val="SPCRESP"/>
        <w:rPr>
          <w:b/>
          <w:bCs/>
        </w:rPr>
      </w:pPr>
      <w:r w:rsidRPr="00341B63">
        <w:rPr>
          <w:b/>
          <w:bCs/>
        </w:rPr>
        <w:t>Artículo 5. Obligaciones y facultades de los operadores y de la propiedad</w:t>
      </w:r>
    </w:p>
    <w:p w14:paraId="23BFDA86" w14:textId="77777777" w:rsidR="00341B63" w:rsidRDefault="00341B63" w:rsidP="00341B63">
      <w:pPr>
        <w:pStyle w:val="SPCRESP"/>
      </w:pPr>
    </w:p>
    <w:p w14:paraId="2F3CC255" w14:textId="77777777" w:rsidR="00341B63" w:rsidRDefault="00341B63" w:rsidP="00341B63">
      <w:pPr>
        <w:pStyle w:val="SPCRESP"/>
      </w:pPr>
      <w:r>
        <w:t>......</w:t>
      </w:r>
    </w:p>
    <w:p w14:paraId="70330E2D" w14:textId="77777777" w:rsidR="00341B63" w:rsidRPr="00341B63" w:rsidRDefault="00341B63" w:rsidP="00341B63">
      <w:pPr>
        <w:pStyle w:val="SPCRESP"/>
        <w:rPr>
          <w:i/>
          <w:iCs/>
        </w:rPr>
      </w:pPr>
    </w:p>
    <w:p w14:paraId="2D11FC3B" w14:textId="77777777" w:rsidR="00341B63" w:rsidRPr="00341B63" w:rsidRDefault="00341B63" w:rsidP="00341B63">
      <w:pPr>
        <w:pStyle w:val="SPCRESP"/>
        <w:rPr>
          <w:i/>
          <w:iCs/>
        </w:rPr>
      </w:pPr>
      <w:r w:rsidRPr="00341B63">
        <w:rPr>
          <w:i/>
          <w:iCs/>
        </w:rPr>
        <w:t>5. De acuerdo con lo dispuesto en el artículo 9.1 del Real Decreto-ley 1/1998, de 27 de febrero, sobre infraestructuras comunes en los edificios para el acceso a los servicios de telecomunicación, los copropietarios de un edificio en régimen de propiedad horizontal o, en su caso, los arrendatarios tendrán derecho a acceder, a su costa, a los servicios de telecomunicaciones distintos de los indicados en el artículo 2.1 de este reglamento a través de sistemas individuales de acceso a los servicios de telecomunicación cuando no exista infraestructura común de acceso a los servicios de telecomunicaciones, no se instale una nueva o no se adapte la preexistente, todo ello con arreglo al procedimiento dispuesto en el artículo 9.2 del mencionado Real Decreto-ley 1/1998.</w:t>
      </w:r>
    </w:p>
    <w:p w14:paraId="55E2B533" w14:textId="77777777" w:rsidR="00341B63" w:rsidRDefault="00341B63" w:rsidP="00341B63">
      <w:pPr>
        <w:pStyle w:val="SPCRESP"/>
      </w:pPr>
    </w:p>
    <w:p w14:paraId="56CAA058" w14:textId="77777777" w:rsidR="00341B63" w:rsidRDefault="00341B63" w:rsidP="00341B63">
      <w:pPr>
        <w:pStyle w:val="SPCRESP"/>
      </w:pPr>
    </w:p>
    <w:p w14:paraId="529F6B38" w14:textId="77777777" w:rsidR="00341B63" w:rsidRDefault="00341B63" w:rsidP="00341B63">
      <w:pPr>
        <w:pStyle w:val="SPCRESP"/>
        <w:ind w:firstLine="454"/>
      </w:pPr>
      <w:r>
        <w:t xml:space="preserve">De este modo, según lo establecido en los citados preceptos, el propietario tiene derecho a proceder a realizar la instalación, sin que necesite la autorización de la Junta de Propietarios, si bien deberá proceder a cumplir los requisitos establecidos en el artículo 6 del </w:t>
      </w:r>
      <w:proofErr w:type="gramStart"/>
      <w:r>
        <w:t>citado  Real</w:t>
      </w:r>
      <w:proofErr w:type="gramEnd"/>
      <w:r>
        <w:t xml:space="preserve"> Decreto 346/2011: </w:t>
      </w:r>
    </w:p>
    <w:p w14:paraId="7FFE1C2C" w14:textId="77777777" w:rsidR="00341B63" w:rsidRPr="00341B63" w:rsidRDefault="00341B63" w:rsidP="00341B63">
      <w:pPr>
        <w:pStyle w:val="SPCRESP"/>
        <w:rPr>
          <w:b/>
          <w:bCs/>
        </w:rPr>
      </w:pPr>
    </w:p>
    <w:p w14:paraId="572BB499" w14:textId="77777777" w:rsidR="00341B63" w:rsidRPr="00341B63" w:rsidRDefault="00341B63" w:rsidP="00341B63">
      <w:pPr>
        <w:pStyle w:val="SPCRESP"/>
        <w:rPr>
          <w:b/>
          <w:bCs/>
        </w:rPr>
      </w:pPr>
      <w:r w:rsidRPr="00341B63">
        <w:rPr>
          <w:b/>
          <w:bCs/>
        </w:rPr>
        <w:t>Artículo 6. Adaptación de instalaciones existentes y realización de instalaciones individuales</w:t>
      </w:r>
    </w:p>
    <w:p w14:paraId="47FA3E7C" w14:textId="77777777" w:rsidR="00341B63" w:rsidRDefault="00341B63" w:rsidP="00341B63">
      <w:pPr>
        <w:pStyle w:val="SPCRESP"/>
      </w:pPr>
    </w:p>
    <w:p w14:paraId="614057F5" w14:textId="77777777" w:rsidR="00341B63" w:rsidRPr="00341B63" w:rsidRDefault="00341B63" w:rsidP="00341B63">
      <w:pPr>
        <w:pStyle w:val="SPCRESP"/>
        <w:rPr>
          <w:i/>
          <w:iCs/>
        </w:rPr>
      </w:pPr>
      <w:r w:rsidRPr="00341B63">
        <w:rPr>
          <w:i/>
          <w:iCs/>
        </w:rPr>
        <w:t xml:space="preserve">1. La adaptación de las instalaciones individuales o de las infraestructuras preexistentes cuando, de acuerdo con la legislación vigente, no reúnan las condiciones para soportar una infraestructura común de telecomunicaciones o no exista obligación de instalarla se realizará de conformidad con los anexos referidos en los párrafos a) y b) del artículo 4.1 de este reglamento que les sean de aplicación. </w:t>
      </w:r>
    </w:p>
    <w:p w14:paraId="140649D4" w14:textId="77777777" w:rsidR="00341B63" w:rsidRPr="00341B63" w:rsidRDefault="00341B63" w:rsidP="00341B63">
      <w:pPr>
        <w:pStyle w:val="SPCRESP"/>
        <w:rPr>
          <w:i/>
          <w:iCs/>
        </w:rPr>
      </w:pPr>
      <w:r w:rsidRPr="00341B63">
        <w:rPr>
          <w:i/>
          <w:iCs/>
        </w:rPr>
        <w:t xml:space="preserve">2. En el caso de que por no existir, o no estar prevista, la instalación de una infraestructura común de telecomunicaciones, o no se adaptase la preexistente, sea necesaria la realización de una instalación individual para acceder a un servicio de telecomunicación, el promotor de dicha instalación estará obligado a comunicar por escrito al propietario o, en su caso, a la comunidad de propietarios del edificio su intención, y acompañará a dicha comunicación la documentación suficiente para describir la instalación que pretende realizar, acreditación de que ésta reúne los requisitos legales que le sean de aplicación y detalle del uso pretendido de los elementos comunes del edificio. </w:t>
      </w:r>
      <w:proofErr w:type="gramStart"/>
      <w:r w:rsidRPr="00341B63">
        <w:rPr>
          <w:i/>
          <w:iCs/>
        </w:rPr>
        <w:t>Asimismo</w:t>
      </w:r>
      <w:proofErr w:type="gramEnd"/>
      <w:r w:rsidRPr="00341B63">
        <w:rPr>
          <w:i/>
          <w:iCs/>
        </w:rPr>
        <w:t xml:space="preserve"> incluirá una declaración expresa por la que se exima al propietario o, en su caso, a la comunidad de propietarios de obligación alguna relativa al mantenimiento, seguridad y vigilancia de la infraestructura que se pretende realizar. El propietario o, en su caso, la comunidad de propietarios contestará en los plazos </w:t>
      </w:r>
      <w:r w:rsidRPr="00341B63">
        <w:rPr>
          <w:i/>
          <w:iCs/>
        </w:rPr>
        <w:lastRenderedPageBreak/>
        <w:t>previstos en el Real Decreto-ley 1/1998, de 27 de febrero, si tiene previsto acometer la realización de una infraestructura común o la adaptación de la preexistente que proporcione el acceso al servicio de telecomunicación pretendido y, en caso contrario, prestará su consentimiento a la utilización de los elementos comunes del edificio para proceder a la realización de la instalación individual, y podrá proponer soluciones alternativas, siempre y cuando sean viables técnica y económicamente.</w:t>
      </w:r>
    </w:p>
    <w:p w14:paraId="6744E3F2" w14:textId="77777777" w:rsidR="00341B63" w:rsidRPr="00341B63" w:rsidRDefault="00341B63" w:rsidP="00341B63">
      <w:pPr>
        <w:pStyle w:val="SPCRESP"/>
        <w:rPr>
          <w:i/>
          <w:iCs/>
        </w:rPr>
      </w:pPr>
    </w:p>
    <w:p w14:paraId="5408EDD4" w14:textId="77777777" w:rsidR="00341B63" w:rsidRDefault="00341B63" w:rsidP="00341B63">
      <w:pPr>
        <w:pStyle w:val="SPCRESP"/>
      </w:pPr>
    </w:p>
    <w:p w14:paraId="79B8F855" w14:textId="64344196" w:rsidR="00236E24" w:rsidRDefault="00341B63" w:rsidP="00341B63">
      <w:pPr>
        <w:pStyle w:val="SPCRESP"/>
        <w:ind w:firstLine="454"/>
      </w:pPr>
      <w:r>
        <w:t>Es decir, si la Comunidad no va a realizar ninguna infraestructura común para dar dicho servicio, ni el propietario puede utilizar alguna de las que ya existan mediante su adaptación, podrá realizarla si cumple los requisitos establecidos en el anterior artículo.</w:t>
      </w:r>
    </w:p>
    <w:p w14:paraId="481BBCA8" w14:textId="77777777" w:rsidR="00236E24" w:rsidRDefault="00236E24">
      <w:pPr>
        <w:ind w:right="579"/>
        <w:rPr>
          <w:rFonts w:ascii="Interstate-Light" w:hAnsi="Interstate-Light"/>
          <w:bCs/>
          <w:iCs/>
          <w:sz w:val="22"/>
        </w:rPr>
      </w:pPr>
    </w:p>
    <w:p w14:paraId="6B214289" w14:textId="77777777" w:rsidR="00236E24" w:rsidRDefault="00236E24">
      <w:pPr>
        <w:ind w:right="579"/>
        <w:rPr>
          <w:rFonts w:ascii="Interstate-Light" w:hAnsi="Interstate-Light"/>
          <w:bCs/>
          <w:iCs/>
          <w:sz w:val="22"/>
        </w:rPr>
      </w:pPr>
    </w:p>
    <w:p w14:paraId="760262E0" w14:textId="77777777" w:rsidR="00236E24" w:rsidRDefault="00236E24">
      <w:pPr>
        <w:ind w:right="579"/>
        <w:rPr>
          <w:rFonts w:ascii="Interstate-Light" w:hAnsi="Interstate-Light"/>
          <w:bCs/>
          <w:iCs/>
          <w:sz w:val="22"/>
        </w:rPr>
      </w:pPr>
    </w:p>
    <w:p w14:paraId="549814CC" w14:textId="77777777" w:rsidR="00236E24" w:rsidRDefault="00236E24">
      <w:pPr>
        <w:pStyle w:val="SPCANEXO"/>
        <w:ind w:right="579"/>
      </w:pPr>
      <w:bookmarkStart w:id="9" w:name="ANEXO"/>
      <w:bookmarkEnd w:id="9"/>
    </w:p>
    <w:p w14:paraId="6962C5D3" w14:textId="77777777" w:rsidR="00236E24" w:rsidRDefault="00236E24">
      <w:pPr>
        <w:ind w:right="579"/>
        <w:rPr>
          <w:rFonts w:ascii="Interstate-Light" w:hAnsi="Interstate-Light"/>
          <w:bCs/>
          <w:sz w:val="22"/>
        </w:rPr>
      </w:pPr>
    </w:p>
    <w:p w14:paraId="0D4C2930" w14:textId="77777777" w:rsidR="00236E24" w:rsidRDefault="00236E24">
      <w:pPr>
        <w:ind w:right="579"/>
        <w:rPr>
          <w:rFonts w:ascii="Interstate-Light" w:hAnsi="Interstate-Light"/>
          <w:bCs/>
          <w:sz w:val="22"/>
        </w:rPr>
      </w:pPr>
    </w:p>
    <w:p w14:paraId="3DD4E1BE" w14:textId="77777777" w:rsidR="00236E24" w:rsidRDefault="00E50E69">
      <w:pPr>
        <w:ind w:right="579"/>
        <w:rPr>
          <w:rFonts w:ascii="Interstate-Light" w:hAnsi="Interstate-Light"/>
          <w:bCs/>
          <w:sz w:val="22"/>
        </w:rPr>
      </w:pPr>
      <w:r>
        <w:rPr>
          <w:bCs/>
          <w:iCs/>
          <w:noProof/>
          <w:lang w:val="es-ES"/>
        </w:rPr>
        <mc:AlternateContent>
          <mc:Choice Requires="wps">
            <w:drawing>
              <wp:anchor distT="0" distB="0" distL="114300" distR="114300" simplePos="0" relativeHeight="251657728" behindDoc="0" locked="0" layoutInCell="1" allowOverlap="1" wp14:anchorId="1655D415" wp14:editId="75B5D6E2">
                <wp:simplePos x="0" y="0"/>
                <wp:positionH relativeFrom="column">
                  <wp:posOffset>534035</wp:posOffset>
                </wp:positionH>
                <wp:positionV relativeFrom="paragraph">
                  <wp:posOffset>52070</wp:posOffset>
                </wp:positionV>
                <wp:extent cx="178054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0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FB741B"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5pt,4.1pt" to="182.2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"/>
            </w:pict>
          </mc:Fallback>
        </mc:AlternateContent>
      </w:r>
    </w:p>
    <w:p w14:paraId="2AE4FE8E" w14:textId="77777777" w:rsidR="00236E24" w:rsidRDefault="00E50E69">
      <w:pPr>
        <w:pStyle w:val="Textodebloque"/>
        <w:keepNext/>
        <w:keepLines/>
        <w:pBdr>
          <w:top w:val="none" w:sz="0" w:space="0" w:color="auto"/>
        </w:pBdr>
        <w:spacing w:after="120"/>
        <w:ind w:right="862"/>
        <w:jc w:val="both"/>
        <w:rPr>
          <w:rFonts w:ascii="Interstate-Bold" w:hAnsi="Interstate-Bold" w:cs="Arial"/>
          <w:bCs/>
          <w:color w:val="003300"/>
          <w:sz w:val="24"/>
          <w:szCs w:val="16"/>
        </w:rPr>
      </w:pPr>
      <w:r>
        <w:rPr>
          <w:rFonts w:ascii="Interstate-Bold" w:hAnsi="Interstate-Bold" w:cs="Arial"/>
          <w:bCs/>
          <w:color w:val="003300"/>
          <w:sz w:val="24"/>
          <w:szCs w:val="16"/>
        </w:rPr>
        <w:t xml:space="preserve">Acceda al Servicio de Consultas a través de </w:t>
      </w:r>
      <w:r>
        <w:rPr>
          <w:rFonts w:ascii="Interstate-Bold" w:hAnsi="Interstate-Bold" w:cs="Arial"/>
          <w:bCs/>
          <w:color w:val="003300"/>
          <w:sz w:val="24"/>
          <w:szCs w:val="16"/>
          <w:u w:val="single"/>
        </w:rPr>
        <w:t>www.sepin.es</w:t>
      </w:r>
    </w:p>
    <w:p w14:paraId="2E0660D5" w14:textId="77777777" w:rsidR="00236E24" w:rsidRDefault="00E50E69">
      <w:pPr>
        <w:pStyle w:val="Textodebloque"/>
        <w:keepNext/>
        <w:keepLines/>
        <w:pBdr>
          <w:top w:val="none" w:sz="0" w:space="0" w:color="auto"/>
        </w:pBdr>
        <w:spacing w:after="120"/>
        <w:ind w:right="862"/>
        <w:jc w:val="both"/>
        <w:rPr>
          <w:rFonts w:ascii="Interstate-Bold" w:hAnsi="Interstate-Bold" w:cs="Arial"/>
          <w:bCs/>
          <w:color w:val="003300"/>
          <w:szCs w:val="16"/>
        </w:rPr>
      </w:pPr>
      <w:r>
        <w:rPr>
          <w:rFonts w:ascii="Interstate-Bold" w:hAnsi="Interstate-Bold" w:cs="Arial"/>
          <w:bCs/>
          <w:color w:val="003300"/>
          <w:szCs w:val="16"/>
        </w:rPr>
        <w:t>En SERVICIOS/CONSULTAS, tendrá disponible el histórico de sus consultas y podrá visualizarlas o descargarlas en cualquier momento</w:t>
      </w:r>
    </w:p>
    <w:p w14:paraId="45BD9DA6" w14:textId="77777777" w:rsidR="00236E24" w:rsidRDefault="00E50E69">
      <w:pPr>
        <w:pStyle w:val="Textoindependiente2"/>
        <w:ind w:left="964" w:right="862"/>
      </w:pPr>
      <w:r>
        <w:t>SEPIN se limita a ofrecer su opinión, respetando otras diferentes y eludiendo cualquier responsabilidad por el hecho de que nuestros criterios sean admitidos o rechazados por los Tribunales.</w:t>
      </w:r>
    </w:p>
    <w:sectPr w:rsidR="00236E24">
      <w:headerReference w:type="default" r:id="rId6"/>
      <w:footerReference w:type="default" r:id="rId7"/>
      <w:headerReference w:type="first" r:id="rId8"/>
      <w:footerReference w:type="first" r:id="rId9"/>
      <w:pgSz w:w="11907" w:h="16840" w:code="9"/>
      <w:pgMar w:top="2364" w:right="442" w:bottom="1418" w:left="680" w:header="567"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91A6E" w14:textId="77777777" w:rsidR="00446177" w:rsidRDefault="00446177">
      <w:r>
        <w:separator/>
      </w:r>
    </w:p>
  </w:endnote>
  <w:endnote w:type="continuationSeparator" w:id="0">
    <w:p w14:paraId="2052D97E" w14:textId="77777777" w:rsidR="00446177" w:rsidRDefault="00446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5ACC3846-6A82-4AA2-ADDA-E08FCB549CC5}"/>
    <w:embedBold r:id="rId2" w:fontKey="{CA21C3AE-F074-45C7-9DA1-D217601F024D}"/>
    <w:embedItalic r:id="rId3" w:fontKey="{9D7535E0-35FB-41F8-8A9F-DB232CCDFBD2}"/>
  </w:font>
  <w:font w:name="Interstate-Light">
    <w:altName w:val="Calibri"/>
    <w:charset w:val="00"/>
    <w:family w:val="auto"/>
    <w:pitch w:val="variable"/>
    <w:sig w:usb0="00000003" w:usb1="00000000" w:usb2="00000000" w:usb3="00000000" w:csb0="00000001" w:csb1="00000000"/>
  </w:font>
  <w:font w:name="Interstate-Bol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4" w:fontKey="{DC2D129B-6EF3-4107-8D1E-8BE9712C04DA}"/>
    <w:embedBold r:id="rId5" w:fontKey="{457EA2CD-6FE9-4A50-AD94-AC122281223E}"/>
  </w:font>
  <w:font w:name="Calibri Light">
    <w:panose1 w:val="020F0302020204030204"/>
    <w:charset w:val="00"/>
    <w:family w:val="swiss"/>
    <w:pitch w:val="variable"/>
    <w:sig w:usb0="E4002EFF" w:usb1="C000247B" w:usb2="00000009" w:usb3="00000000" w:csb0="000001FF" w:csb1="00000000"/>
    <w:embedRegular r:id="rId6" w:fontKey="{2F6F91B6-7D41-4B72-ABCD-A19D49EB0FC5}"/>
  </w:font>
  <w:font w:name="Calibri">
    <w:panose1 w:val="020F0502020204030204"/>
    <w:charset w:val="00"/>
    <w:family w:val="swiss"/>
    <w:pitch w:val="variable"/>
    <w:sig w:usb0="E4002EFF" w:usb1="C000247B" w:usb2="00000009" w:usb3="00000000" w:csb0="000001FF" w:csb1="00000000"/>
    <w:embedRegular r:id="rId7" w:fontKey="{9817CFF6-C3CC-4718-A13A-818D58C886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A624C" w14:textId="77777777" w:rsidR="00236E24" w:rsidRDefault="00E50E69">
    <w:pPr>
      <w:pStyle w:val="Piedepgina"/>
      <w:tabs>
        <w:tab w:val="clear" w:pos="4252"/>
        <w:tab w:val="clear" w:pos="8504"/>
        <w:tab w:val="left" w:pos="1276"/>
        <w:tab w:val="left" w:pos="3119"/>
        <w:tab w:val="left" w:pos="4395"/>
        <w:tab w:val="left" w:pos="5670"/>
        <w:tab w:val="right" w:pos="10065"/>
      </w:tabs>
      <w:rPr>
        <w:rFonts w:ascii="Interstate-Light" w:hAnsi="Interstate-Light" w:cs="Tahoma"/>
        <w:b w:val="0"/>
      </w:rPr>
    </w:pPr>
    <w:r>
      <w:drawing>
        <wp:anchor distT="0" distB="0" distL="114300" distR="114300" simplePos="0" relativeHeight="251659264" behindDoc="0" locked="0" layoutInCell="1" allowOverlap="0" wp14:anchorId="767CC230" wp14:editId="2B32A80B">
          <wp:simplePos x="0" y="0"/>
          <wp:positionH relativeFrom="column">
            <wp:posOffset>-37465</wp:posOffset>
          </wp:positionH>
          <wp:positionV relativeFrom="paragraph">
            <wp:posOffset>-168910</wp:posOffset>
          </wp:positionV>
          <wp:extent cx="598805" cy="412115"/>
          <wp:effectExtent l="0" t="0" r="0" b="0"/>
          <wp:wrapNone/>
          <wp:docPr id="9" name="Imagen 9" descr="logo ae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aenor"/>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98805" cy="4121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nterstate-Light" w:hAnsi="Interstate-Light" w:cs="Tahoma"/>
        <w:b w:val="0"/>
        <w:sz w:val="16"/>
      </w:rPr>
      <w:tab/>
      <w:t>Servicio de Consultas</w:t>
    </w:r>
    <w:r>
      <w:rPr>
        <w:rFonts w:ascii="Interstate-Bold" w:hAnsi="Interstate-Bold" w:cs="Tahoma"/>
        <w:b w:val="0"/>
        <w:sz w:val="16"/>
      </w:rPr>
      <w:t xml:space="preserve"> </w:t>
    </w:r>
    <w:r>
      <w:rPr>
        <w:rFonts w:ascii="Interstate-Bold" w:hAnsi="Interstate-Bold" w:cs="Tahoma"/>
        <w:b w:val="0"/>
        <w:sz w:val="16"/>
      </w:rPr>
      <w:tab/>
      <w:t xml:space="preserve">t: </w:t>
    </w:r>
    <w:r>
      <w:rPr>
        <w:rFonts w:ascii="Interstate-Light" w:hAnsi="Interstate-Light" w:cs="Tahoma"/>
        <w:b w:val="0"/>
        <w:sz w:val="16"/>
      </w:rPr>
      <w:t>902 33 88 00</w:t>
    </w:r>
    <w:r>
      <w:rPr>
        <w:rFonts w:ascii="Interstate-Light" w:hAnsi="Interstate-Light" w:cs="Tahoma"/>
        <w:b w:val="0"/>
        <w:sz w:val="16"/>
      </w:rPr>
      <w:tab/>
    </w:r>
    <w:r>
      <w:rPr>
        <w:rFonts w:ascii="Interstate-Bold" w:hAnsi="Interstate-Bold" w:cs="Tahoma"/>
        <w:b w:val="0"/>
        <w:sz w:val="16"/>
      </w:rPr>
      <w:t xml:space="preserve">f: </w:t>
    </w:r>
    <w:r>
      <w:rPr>
        <w:rFonts w:ascii="Interstate-Light" w:hAnsi="Interstate-Light" w:cs="Tahoma"/>
        <w:b w:val="0"/>
        <w:sz w:val="16"/>
      </w:rPr>
      <w:t>91 352 75 43</w:t>
    </w:r>
    <w:r>
      <w:rPr>
        <w:rFonts w:ascii="Interstate-Bold" w:hAnsi="Interstate-Bold" w:cs="Tahoma"/>
        <w:b w:val="0"/>
        <w:sz w:val="16"/>
      </w:rPr>
      <w:tab/>
      <w:t>consultas@sepin.es</w:t>
    </w:r>
    <w:r>
      <w:rPr>
        <w:rFonts w:ascii="Interstate-Bold" w:hAnsi="Interstate-Bold" w:cs="Tahoma"/>
        <w:b w:val="0"/>
      </w:rPr>
      <w:tab/>
    </w:r>
    <w:r>
      <w:rPr>
        <w:rFonts w:ascii="Interstate-Bold" w:hAnsi="Interstate-Bold" w:cs="Tahoma"/>
        <w:b w:val="0"/>
      </w:rPr>
      <w:fldChar w:fldCharType="begin"/>
    </w:r>
    <w:r>
      <w:rPr>
        <w:rFonts w:ascii="Interstate-Bold" w:hAnsi="Interstate-Bold" w:cs="Tahoma"/>
        <w:b w:val="0"/>
      </w:rPr>
      <w:instrText xml:space="preserve"> PAGE </w:instrText>
    </w:r>
    <w:r>
      <w:rPr>
        <w:rFonts w:ascii="Interstate-Bold" w:hAnsi="Interstate-Bold" w:cs="Tahoma"/>
        <w:b w:val="0"/>
      </w:rPr>
      <w:fldChar w:fldCharType="separate"/>
    </w:r>
    <w:r>
      <w:rPr>
        <w:rFonts w:ascii="Interstate-Bold" w:hAnsi="Interstate-Bold" w:cs="Tahoma"/>
        <w:b w:val="0"/>
      </w:rPr>
      <w:t>2</w:t>
    </w:r>
    <w:r>
      <w:rPr>
        <w:rFonts w:ascii="Interstate-Bold" w:hAnsi="Interstate-Bold" w:cs="Tahoma"/>
        <w:b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4A58" w14:textId="77777777" w:rsidR="00236E24" w:rsidRDefault="00E50E69">
    <w:pPr>
      <w:pStyle w:val="Piedepgina"/>
      <w:tabs>
        <w:tab w:val="clear" w:pos="4252"/>
        <w:tab w:val="clear" w:pos="8504"/>
        <w:tab w:val="left" w:pos="1276"/>
        <w:tab w:val="left" w:pos="3119"/>
        <w:tab w:val="left" w:pos="4395"/>
        <w:tab w:val="left" w:pos="5670"/>
        <w:tab w:val="right" w:pos="10065"/>
      </w:tabs>
      <w:rPr>
        <w:rFonts w:ascii="Interstate-Light" w:hAnsi="Interstate-Light" w:cs="Tahoma"/>
        <w:b w:val="0"/>
        <w:sz w:val="16"/>
      </w:rPr>
    </w:pPr>
    <w:r>
      <w:drawing>
        <wp:anchor distT="0" distB="0" distL="114300" distR="114300" simplePos="0" relativeHeight="251658240" behindDoc="0" locked="0" layoutInCell="1" allowOverlap="1" wp14:anchorId="3C6615F6" wp14:editId="33655A15">
          <wp:simplePos x="0" y="0"/>
          <wp:positionH relativeFrom="column">
            <wp:posOffset>-37465</wp:posOffset>
          </wp:positionH>
          <wp:positionV relativeFrom="paragraph">
            <wp:posOffset>-160020</wp:posOffset>
          </wp:positionV>
          <wp:extent cx="624840" cy="431165"/>
          <wp:effectExtent l="0" t="0" r="0" b="0"/>
          <wp:wrapNone/>
          <wp:docPr id="8" name="Imagen 8" descr="Documents and Settings\adelgado\Escritorio\aen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cuments and Settings\adelgado\Escritorio\aen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84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nterstate-Light" w:hAnsi="Interstate-Light" w:cs="Arial"/>
        <w:bCs/>
        <w:sz w:val="16"/>
      </w:rPr>
      <w:tab/>
    </w:r>
    <w:r>
      <w:rPr>
        <w:rFonts w:ascii="Interstate-Light" w:hAnsi="Interstate-Light" w:cs="Tahoma"/>
        <w:b w:val="0"/>
        <w:sz w:val="16"/>
      </w:rPr>
      <w:t xml:space="preserve">Servicio de Consultas </w:t>
    </w:r>
    <w:r>
      <w:rPr>
        <w:rFonts w:ascii="Interstate-Light" w:hAnsi="Interstate-Light" w:cs="Tahoma"/>
        <w:b w:val="0"/>
        <w:sz w:val="16"/>
      </w:rPr>
      <w:tab/>
    </w:r>
    <w:r>
      <w:rPr>
        <w:rFonts w:ascii="Interstate-Bold" w:hAnsi="Interstate-Bold" w:cs="Tahoma"/>
        <w:b w:val="0"/>
        <w:sz w:val="16"/>
      </w:rPr>
      <w:t>t</w:t>
    </w:r>
    <w:r>
      <w:rPr>
        <w:rFonts w:ascii="Interstate-Light" w:hAnsi="Interstate-Light" w:cs="Tahoma"/>
        <w:b w:val="0"/>
        <w:sz w:val="16"/>
      </w:rPr>
      <w:t xml:space="preserve"> 902 33 88 00</w:t>
    </w:r>
    <w:r>
      <w:rPr>
        <w:rFonts w:ascii="Interstate-Light" w:hAnsi="Interstate-Light" w:cs="Tahoma"/>
        <w:b w:val="0"/>
        <w:sz w:val="16"/>
      </w:rPr>
      <w:tab/>
    </w:r>
    <w:r>
      <w:rPr>
        <w:rFonts w:ascii="Interstate-Bold" w:hAnsi="Interstate-Bold" w:cs="Tahoma"/>
        <w:b w:val="0"/>
        <w:sz w:val="16"/>
      </w:rPr>
      <w:t xml:space="preserve">f </w:t>
    </w:r>
    <w:r>
      <w:rPr>
        <w:rFonts w:ascii="Interstate-Light" w:hAnsi="Interstate-Light" w:cs="Tahoma"/>
        <w:b w:val="0"/>
        <w:sz w:val="16"/>
      </w:rPr>
      <w:t>91 352 75 43</w:t>
    </w:r>
    <w:r>
      <w:rPr>
        <w:rFonts w:ascii="Interstate-Light" w:hAnsi="Interstate-Light" w:cs="Tahoma"/>
        <w:b w:val="0"/>
        <w:sz w:val="16"/>
      </w:rPr>
      <w:tab/>
    </w:r>
    <w:r>
      <w:rPr>
        <w:rFonts w:ascii="Interstate-Bold" w:hAnsi="Interstate-Bold" w:cs="Tahoma"/>
        <w:b w:val="0"/>
        <w:sz w:val="16"/>
      </w:rPr>
      <w:t>consultas@sepin.es</w:t>
    </w:r>
    <w:r>
      <w:rPr>
        <w:rFonts w:ascii="Interstate-Light" w:hAnsi="Interstate-Light" w:cs="Tahoma"/>
        <w:b w:val="0"/>
        <w:sz w:val="16"/>
      </w:rPr>
      <w:tab/>
    </w:r>
    <w:r>
      <w:rPr>
        <w:rFonts w:ascii="Interstate-Bold" w:hAnsi="Interstate-Bold" w:cs="Tahoma"/>
        <w:b w:val="0"/>
      </w:rPr>
      <w:fldChar w:fldCharType="begin"/>
    </w:r>
    <w:r>
      <w:rPr>
        <w:rFonts w:ascii="Interstate-Bold" w:hAnsi="Interstate-Bold" w:cs="Tahoma"/>
        <w:b w:val="0"/>
      </w:rPr>
      <w:instrText xml:space="preserve"> PAGE </w:instrText>
    </w:r>
    <w:r>
      <w:rPr>
        <w:rFonts w:ascii="Interstate-Bold" w:hAnsi="Interstate-Bold" w:cs="Tahoma"/>
        <w:b w:val="0"/>
      </w:rPr>
      <w:fldChar w:fldCharType="separate"/>
    </w:r>
    <w:r w:rsidR="00357143">
      <w:rPr>
        <w:rFonts w:ascii="Interstate-Bold" w:hAnsi="Interstate-Bold" w:cs="Tahoma"/>
        <w:b w:val="0"/>
      </w:rPr>
      <w:t>1</w:t>
    </w:r>
    <w:r>
      <w:rPr>
        <w:rFonts w:ascii="Interstate-Bold" w:hAnsi="Interstate-Bold" w:cs="Tahoma"/>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CC139" w14:textId="77777777" w:rsidR="00446177" w:rsidRDefault="00446177">
      <w:r>
        <w:separator/>
      </w:r>
    </w:p>
  </w:footnote>
  <w:footnote w:type="continuationSeparator" w:id="0">
    <w:p w14:paraId="66C44501" w14:textId="77777777" w:rsidR="00446177" w:rsidRDefault="00446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A59DA" w14:textId="77777777" w:rsidR="00236E24" w:rsidRDefault="00E50E69">
    <w:pPr>
      <w:pStyle w:val="Encabezado"/>
      <w:tabs>
        <w:tab w:val="clear" w:pos="4252"/>
        <w:tab w:val="clear" w:pos="8504"/>
      </w:tabs>
      <w:ind w:left="7655"/>
      <w:rPr>
        <w:rFonts w:ascii="Interstate-Bold" w:hAnsi="Interstate-Bold" w:cs="Tahoma"/>
        <w:bCs/>
      </w:rPr>
    </w:pPr>
    <w:r>
      <w:drawing>
        <wp:anchor distT="0" distB="0" distL="114300" distR="114300" simplePos="0" relativeHeight="251656192" behindDoc="0" locked="0" layoutInCell="1" allowOverlap="0" wp14:anchorId="137DFFB5" wp14:editId="63C77913">
          <wp:simplePos x="0" y="0"/>
          <wp:positionH relativeFrom="column">
            <wp:posOffset>-37465</wp:posOffset>
          </wp:positionH>
          <wp:positionV relativeFrom="paragraph">
            <wp:posOffset>-14605</wp:posOffset>
          </wp:positionV>
          <wp:extent cx="589915" cy="1143000"/>
          <wp:effectExtent l="0" t="0" r="0" b="0"/>
          <wp:wrapNone/>
          <wp:docPr id="3" name="Imagen 3" descr="M:\MARKETING\MATERIAL GRÁFICO\Logo\LogoSepi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ARKETING\MATERIAL GRÁFICO\Logo\LogoSepin.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1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nterstate-Bold" w:hAnsi="Interstate-Bold" w:cs="Tahoma"/>
        <w:bCs/>
        <w:color w:val="003300"/>
        <w:sz w:val="32"/>
      </w:rPr>
      <w:t>Servicio Consultas</w:t>
    </w:r>
  </w:p>
  <w:p w14:paraId="2005D2B2" w14:textId="77777777" w:rsidR="00236E24" w:rsidRDefault="00E50E69">
    <w:pPr>
      <w:pStyle w:val="Encabezado"/>
      <w:tabs>
        <w:tab w:val="clear" w:pos="4252"/>
        <w:tab w:val="clear" w:pos="8504"/>
      </w:tabs>
      <w:ind w:left="7655"/>
    </w:pPr>
    <w:r>
      <w:rPr>
        <w:rFonts w:ascii="Interstate-Bold" w:hAnsi="Interstate-Bold" w:cs="Tahoma"/>
        <w:bCs/>
      </w:rPr>
      <w:t>www.sepin.es</w:t>
    </w:r>
    <w:r>
      <w:t xml:space="preserve">  </w:t>
    </w:r>
  </w:p>
  <w:p w14:paraId="1A70A99E" w14:textId="77777777" w:rsidR="00236E24" w:rsidRDefault="00236E24">
    <w:pPr>
      <w:pStyle w:val="Encabezado"/>
      <w:tabs>
        <w:tab w:val="clear" w:pos="4252"/>
        <w:tab w:val="clear" w:pos="8504"/>
      </w:tabs>
      <w:ind w:left="7655"/>
    </w:pPr>
  </w:p>
  <w:p w14:paraId="6F27D9A7" w14:textId="77777777" w:rsidR="00236E24" w:rsidRDefault="00236E24">
    <w:pPr>
      <w:pStyle w:val="Encabezado"/>
      <w:tabs>
        <w:tab w:val="clear" w:pos="4252"/>
        <w:tab w:val="clear" w:pos="8504"/>
      </w:tabs>
      <w:ind w:left="7655"/>
    </w:pPr>
  </w:p>
  <w:p w14:paraId="66D5D1E7" w14:textId="77777777" w:rsidR="00236E24" w:rsidRDefault="00236E24">
    <w:pPr>
      <w:pStyle w:val="Encabezado"/>
      <w:tabs>
        <w:tab w:val="clear" w:pos="4252"/>
        <w:tab w:val="clear" w:pos="8504"/>
      </w:tabs>
      <w:ind w:left="7655"/>
    </w:pPr>
  </w:p>
  <w:p w14:paraId="33E27D09" w14:textId="77777777" w:rsidR="00236E24" w:rsidRDefault="00236E24">
    <w:pPr>
      <w:pStyle w:val="Encabezado"/>
      <w:tabs>
        <w:tab w:val="clear" w:pos="4252"/>
        <w:tab w:val="clear" w:pos="8504"/>
      </w:tabs>
      <w:ind w:left="7655"/>
    </w:pPr>
  </w:p>
  <w:p w14:paraId="12E38E40" w14:textId="77777777" w:rsidR="00236E24" w:rsidRDefault="00236E24">
    <w:pPr>
      <w:pStyle w:val="Encabezado"/>
      <w:tabs>
        <w:tab w:val="clear" w:pos="4252"/>
        <w:tab w:val="clear" w:pos="8504"/>
      </w:tabs>
      <w:ind w:left="7655"/>
    </w:pPr>
  </w:p>
  <w:p w14:paraId="3ED4E7C5" w14:textId="77777777" w:rsidR="00236E24" w:rsidRDefault="00236E24">
    <w:pPr>
      <w:pStyle w:val="Encabezado"/>
      <w:tabs>
        <w:tab w:val="clear" w:pos="4252"/>
        <w:tab w:val="clear" w:pos="8504"/>
      </w:tabs>
      <w:ind w:left="7655"/>
    </w:pPr>
  </w:p>
  <w:p w14:paraId="08CC4517" w14:textId="77777777" w:rsidR="00236E24" w:rsidRDefault="00236E24">
    <w:pPr>
      <w:pStyle w:val="Encabezado"/>
      <w:tabs>
        <w:tab w:val="clear" w:pos="4252"/>
        <w:tab w:val="clear" w:pos="8504"/>
      </w:tabs>
      <w:ind w:left="765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12A67" w14:textId="77777777" w:rsidR="00236E24" w:rsidRDefault="00E50E69">
    <w:pPr>
      <w:pStyle w:val="Encabezado"/>
      <w:tabs>
        <w:tab w:val="clear" w:pos="4252"/>
        <w:tab w:val="clear" w:pos="8504"/>
      </w:tabs>
      <w:ind w:left="7088"/>
      <w:rPr>
        <w:rFonts w:ascii="Interstate-Bold" w:hAnsi="Interstate-Bold" w:cs="Tahoma"/>
        <w:bCs/>
        <w:sz w:val="36"/>
      </w:rPr>
    </w:pPr>
    <w:r>
      <w:rPr>
        <w:sz w:val="36"/>
      </w:rPr>
      <w:drawing>
        <wp:anchor distT="0" distB="0" distL="114300" distR="114300" simplePos="0" relativeHeight="251657216" behindDoc="0" locked="0" layoutInCell="1" allowOverlap="0" wp14:anchorId="51658A88" wp14:editId="3F8069C2">
          <wp:simplePos x="0" y="0"/>
          <wp:positionH relativeFrom="column">
            <wp:posOffset>-37465</wp:posOffset>
          </wp:positionH>
          <wp:positionV relativeFrom="paragraph">
            <wp:posOffset>-14605</wp:posOffset>
          </wp:positionV>
          <wp:extent cx="825500" cy="1600200"/>
          <wp:effectExtent l="0" t="0" r="0" b="0"/>
          <wp:wrapNone/>
          <wp:docPr id="6" name="Imagen 6" descr="M:\MARKETING\MATERIAL GRÁFICO\Logo\LogoSepi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MARKETING\MATERIAL GRÁFICO\Logo\LogoSepin.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550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nterstate-Bold" w:hAnsi="Interstate-Bold" w:cs="Tahoma"/>
        <w:bCs/>
        <w:color w:val="003300"/>
        <w:sz w:val="36"/>
      </w:rPr>
      <w:t>Servicio Consultas</w:t>
    </w:r>
  </w:p>
  <w:p w14:paraId="6F74A8ED" w14:textId="77777777" w:rsidR="00236E24" w:rsidRDefault="00E50E69">
    <w:pPr>
      <w:pStyle w:val="Encabezado"/>
      <w:tabs>
        <w:tab w:val="clear" w:pos="4252"/>
        <w:tab w:val="clear" w:pos="8504"/>
      </w:tabs>
      <w:ind w:left="7088"/>
      <w:rPr>
        <w:sz w:val="24"/>
      </w:rPr>
    </w:pPr>
    <w:r>
      <w:rPr>
        <w:rFonts w:ascii="Interstate-Bold" w:hAnsi="Interstate-Bold" w:cs="Tahoma"/>
        <w:bCs/>
        <w:sz w:val="24"/>
      </w:rPr>
      <w:t>www.sepin.es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177"/>
    <w:rsid w:val="00236E24"/>
    <w:rsid w:val="00341B63"/>
    <w:rsid w:val="00357143"/>
    <w:rsid w:val="00414904"/>
    <w:rsid w:val="00446177"/>
    <w:rsid w:val="00E50E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F146C2"/>
  <w15:chartTrackingRefBased/>
  <w15:docId w15:val="{9B77E09F-71CE-4CEA-87F6-F26287726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964" w:right="964"/>
      <w:jc w:val="both"/>
    </w:pPr>
    <w:rPr>
      <w:lang w:val="es-ES_tradnl"/>
    </w:rPr>
  </w:style>
  <w:style w:type="paragraph" w:styleId="Ttulo1">
    <w:name w:val="heading 1"/>
    <w:next w:val="Normal"/>
    <w:qFormat/>
    <w:pPr>
      <w:keepNext/>
      <w:spacing w:after="60"/>
      <w:outlineLvl w:val="0"/>
    </w:pPr>
    <w:rPr>
      <w:rFonts w:ascii="Arial" w:hAnsi="Arial"/>
      <w:b/>
      <w:noProof/>
      <w:kern w:val="28"/>
      <w:sz w:val="28"/>
    </w:rPr>
  </w:style>
  <w:style w:type="paragraph" w:styleId="Ttulo2">
    <w:name w:val="heading 2"/>
    <w:basedOn w:val="Normal"/>
    <w:next w:val="Normal"/>
    <w:qFormat/>
    <w:pPr>
      <w:keepNext/>
      <w:ind w:left="1418"/>
      <w:jc w:val="center"/>
      <w:outlineLvl w:val="1"/>
    </w:pPr>
    <w:rPr>
      <w:rFonts w:ascii="Arial" w:hAnsi="Arial" w:cs="Arial"/>
      <w:b/>
      <w:bCs/>
      <w:sz w:val="24"/>
    </w:rPr>
  </w:style>
  <w:style w:type="paragraph" w:styleId="Ttulo3">
    <w:name w:val="heading 3"/>
    <w:basedOn w:val="Normal"/>
    <w:next w:val="Normal"/>
    <w:qFormat/>
    <w:pPr>
      <w:keepNext/>
      <w:pBdr>
        <w:bottom w:val="single" w:sz="4" w:space="1" w:color="auto"/>
      </w:pBdr>
      <w:ind w:left="284"/>
      <w:jc w:val="center"/>
      <w:outlineLvl w:val="2"/>
    </w:pPr>
    <w:rPr>
      <w:rFonts w:ascii="Arial" w:hAnsi="Arial" w:cs="Arial"/>
      <w:b/>
      <w:b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semiHidden/>
    <w:pPr>
      <w:tabs>
        <w:tab w:val="center" w:pos="4252"/>
        <w:tab w:val="right" w:pos="8504"/>
      </w:tabs>
    </w:pPr>
    <w:rPr>
      <w:noProof/>
    </w:rPr>
  </w:style>
  <w:style w:type="paragraph" w:customStyle="1" w:styleId="EncabezadoConsulta">
    <w:name w:val="EncabezadoConsulta"/>
    <w:pPr>
      <w:ind w:left="964" w:right="964"/>
    </w:pPr>
    <w:rPr>
      <w:rFonts w:ascii="Arial" w:hAnsi="Arial"/>
      <w:b/>
      <w:noProof/>
    </w:rPr>
  </w:style>
  <w:style w:type="paragraph" w:customStyle="1" w:styleId="TituloConsulta">
    <w:name w:val="TituloConsulta"/>
    <w:next w:val="TextoApartado"/>
    <w:pPr>
      <w:spacing w:before="240"/>
      <w:ind w:left="964" w:right="964"/>
      <w:jc w:val="center"/>
    </w:pPr>
    <w:rPr>
      <w:b/>
      <w:i/>
      <w:noProof/>
      <w:spacing w:val="10"/>
      <w:sz w:val="28"/>
      <w:u w:val="double"/>
    </w:rPr>
  </w:style>
  <w:style w:type="paragraph" w:customStyle="1" w:styleId="TextoApartado">
    <w:name w:val="TextoApartado"/>
    <w:basedOn w:val="Normal"/>
    <w:pPr>
      <w:ind w:firstLine="709"/>
    </w:pPr>
  </w:style>
  <w:style w:type="paragraph" w:styleId="Piedepgina">
    <w:name w:val="footer"/>
    <w:semiHidden/>
    <w:pPr>
      <w:tabs>
        <w:tab w:val="center" w:pos="4252"/>
        <w:tab w:val="right" w:pos="8504"/>
      </w:tabs>
    </w:pPr>
    <w:rPr>
      <w:b/>
      <w:noProof/>
    </w:rPr>
  </w:style>
  <w:style w:type="character" w:styleId="Nmerodepgina">
    <w:name w:val="page number"/>
    <w:basedOn w:val="Fuentedeprrafopredeter"/>
    <w:semiHidden/>
  </w:style>
  <w:style w:type="paragraph" w:customStyle="1" w:styleId="EBase">
    <w:name w:val="EBase"/>
    <w:basedOn w:val="Encabezado"/>
    <w:rPr>
      <w:sz w:val="16"/>
    </w:rPr>
  </w:style>
  <w:style w:type="paragraph" w:customStyle="1" w:styleId="TituloApartado">
    <w:name w:val="TituloApartado"/>
    <w:basedOn w:val="Normal"/>
    <w:next w:val="TextoApartado"/>
    <w:pPr>
      <w:spacing w:before="480" w:after="120"/>
      <w:jc w:val="center"/>
    </w:pPr>
    <w:rPr>
      <w:b/>
      <w:i/>
      <w:sz w:val="24"/>
    </w:rPr>
  </w:style>
  <w:style w:type="paragraph" w:styleId="Textoindependiente">
    <w:name w:val="Body Text"/>
    <w:basedOn w:val="Normal"/>
    <w:semiHidden/>
    <w:pPr>
      <w:spacing w:after="120"/>
      <w:ind w:left="0"/>
    </w:pPr>
  </w:style>
  <w:style w:type="paragraph" w:customStyle="1" w:styleId="SPCRESP">
    <w:name w:val="SP_C_RESP"/>
    <w:basedOn w:val="Normal"/>
    <w:rPr>
      <w:rFonts w:ascii="Arial Narrow" w:hAnsi="Arial Narrow"/>
      <w:color w:val="000000"/>
      <w:sz w:val="24"/>
    </w:rPr>
  </w:style>
  <w:style w:type="paragraph" w:customStyle="1" w:styleId="SPCANEXO">
    <w:name w:val="SP_C_ANEXO"/>
    <w:basedOn w:val="Normal"/>
    <w:rPr>
      <w:rFonts w:ascii="Interstate-Light" w:hAnsi="Interstate-Light"/>
      <w:sz w:val="16"/>
    </w:rPr>
  </w:style>
  <w:style w:type="paragraph" w:customStyle="1" w:styleId="SPCAPARTADO">
    <w:name w:val="SP_C_APARTADO"/>
    <w:basedOn w:val="Normal"/>
    <w:rPr>
      <w:rFonts w:ascii="Interstate-Bold" w:hAnsi="Interstate-Bold"/>
      <w:b/>
      <w:color w:val="003300"/>
    </w:rPr>
  </w:style>
  <w:style w:type="character" w:styleId="Hipervnculo">
    <w:name w:val="Hyperlink"/>
    <w:basedOn w:val="Fuentedeprrafopredeter"/>
    <w:semiHidden/>
    <w:rPr>
      <w:color w:val="0000FF"/>
      <w:u w:val="single"/>
    </w:rPr>
  </w:style>
  <w:style w:type="paragraph" w:customStyle="1" w:styleId="SPCTITULO">
    <w:name w:val="SP_C_TITULO"/>
    <w:basedOn w:val="Normal"/>
    <w:pPr>
      <w:jc w:val="left"/>
    </w:pPr>
    <w:rPr>
      <w:rFonts w:ascii="Interstate-Bold" w:hAnsi="Interstate-Bold"/>
      <w:b/>
      <w:color w:val="003300"/>
      <w:sz w:val="28"/>
    </w:rPr>
  </w:style>
  <w:style w:type="paragraph" w:styleId="Textodebloque">
    <w:name w:val="Block Text"/>
    <w:basedOn w:val="Normal"/>
    <w:semiHidden/>
    <w:pPr>
      <w:pBdr>
        <w:top w:val="single" w:sz="4" w:space="1" w:color="auto"/>
      </w:pBdr>
      <w:jc w:val="left"/>
    </w:pPr>
  </w:style>
  <w:style w:type="character" w:styleId="Hipervnculovisitado">
    <w:name w:val="FollowedHyperlink"/>
    <w:basedOn w:val="Fuentedeprrafopredeter"/>
    <w:semiHidden/>
    <w:rPr>
      <w:color w:val="800080"/>
      <w:u w:val="single"/>
    </w:rPr>
  </w:style>
  <w:style w:type="paragraph" w:styleId="Textoindependiente2">
    <w:name w:val="Body Text 2"/>
    <w:basedOn w:val="Normal"/>
    <w:semiHidden/>
    <w:pPr>
      <w:ind w:left="0" w:right="4"/>
    </w:pPr>
    <w:rPr>
      <w:rFonts w:ascii="Interstate-Light" w:hAnsi="Interstate-Light" w:cs="Arial"/>
      <w:bCs/>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http://www.sepin.es/accion_digital/aenor/AENOR_byn.gif"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lo\AppData\Roaming\Consult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Consulta</Template>
  <TotalTime>2</TotalTime>
  <Pages>3</Pages>
  <Words>1173</Words>
  <Characters>6442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SEPIN, S.L.</Company>
  <LinksUpToDate>false</LinksUpToDate>
  <CharactersWithSpaces>7600</CharactersWithSpaces>
  <SharedDoc>false</SharedDoc>
  <HLinks>
    <vt:vector size="24" baseType="variant">
      <vt:variant>
        <vt:i4>3866848</vt:i4>
      </vt:variant>
      <vt:variant>
        <vt:i4>-1</vt:i4>
      </vt:variant>
      <vt:variant>
        <vt:i4>2051</vt:i4>
      </vt:variant>
      <vt:variant>
        <vt:i4>1</vt:i4>
      </vt:variant>
      <vt:variant>
        <vt:lpwstr>M:\MARKETING\MATERIAL GRÁFICO\Logo\LogoSepin.tif</vt:lpwstr>
      </vt:variant>
      <vt:variant>
        <vt:lpwstr/>
      </vt:variant>
      <vt:variant>
        <vt:i4>3866848</vt:i4>
      </vt:variant>
      <vt:variant>
        <vt:i4>-1</vt:i4>
      </vt:variant>
      <vt:variant>
        <vt:i4>2054</vt:i4>
      </vt:variant>
      <vt:variant>
        <vt:i4>1</vt:i4>
      </vt:variant>
      <vt:variant>
        <vt:lpwstr>M:\MARKETING\MATERIAL GRÁFICO\Logo\LogoSepin.tif</vt:lpwstr>
      </vt:variant>
      <vt:variant>
        <vt:lpwstr/>
      </vt:variant>
      <vt:variant>
        <vt:i4>2752576</vt:i4>
      </vt:variant>
      <vt:variant>
        <vt:i4>-1</vt:i4>
      </vt:variant>
      <vt:variant>
        <vt:i4>2056</vt:i4>
      </vt:variant>
      <vt:variant>
        <vt:i4>1</vt:i4>
      </vt:variant>
      <vt:variant>
        <vt:lpwstr>Documents and Settings\adelgado\Escritorio\aenor.jpg</vt:lpwstr>
      </vt:variant>
      <vt:variant>
        <vt:lpwstr/>
      </vt:variant>
      <vt:variant>
        <vt:i4>8257587</vt:i4>
      </vt:variant>
      <vt:variant>
        <vt:i4>-1</vt:i4>
      </vt:variant>
      <vt:variant>
        <vt:i4>2057</vt:i4>
      </vt:variant>
      <vt:variant>
        <vt:i4>1</vt:i4>
      </vt:variant>
      <vt:variant>
        <vt:lpwstr>http://www.sepin.es/accion_digital/aenor/AENOR_byn.gif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José Polo</dc:creator>
  <cp:keywords/>
  <dc:description/>
  <cp:lastModifiedBy>María José Polo</cp:lastModifiedBy>
  <cp:revision>3</cp:revision>
  <cp:lastPrinted>2007-09-05T08:20:00Z</cp:lastPrinted>
  <dcterms:created xsi:type="dcterms:W3CDTF">2022-05-09T10:06:00Z</dcterms:created>
  <dcterms:modified xsi:type="dcterms:W3CDTF">2022-05-09T10:08:00Z</dcterms:modified>
</cp:coreProperties>
</file>